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E9" w:rsidRPr="008E4092" w:rsidRDefault="00C214E9" w:rsidP="00C21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E4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основных публикаций: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К вопросу о месте семейного права в системе российского права // Закон и право. – 2010. – №12. – С. 75–77. – 0,2 п.л.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Предмет гражданско-правового регулирования как основной системообразующий фактор отрасли гражданского права // Правовое государство: теория и практика. – 2010. – №22. – С. 42–46. – 0,25 п.л.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 xml:space="preserve"> </w:t>
      </w: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Метод гражданско-правового регулирования как системообразующий фактор отрасли гражданского права // Право и государство: теория и практика. – 2010. – №12. – С. 48–51. – 0,2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Система отрасли гражданского права: основные признаки и понятие // Закон и право. – 2010. – №11. – С. 52–54. – 0,2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Особенности имущественных отношений, составляющих предмет гражданского права // Ученые труды Российской академии адвокатуры и нотариата. – 2010. – №4. – С. 109–113. – 0,3 п.л.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Признаки вещных прав: проблемы и пути научного разрешения // Бизнес в законе. – 2010. – №5. – С. 46–49. – 0,25 п.л.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Системность гражданского права // Право и государство: теория и практика. – 2011. – №2. – С. 33–36. – 0,2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К критике дуализма частного права // Право и государство: теория и практика. – 2011. – № 5. – С. 55–59. – 0,35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Функции гражданского права как системообразующий фактор отрасли // Право и государство: теория и практика. – 2011. – №6. – С. 48–52. – 0,35 п.л.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Системообразующее значение отраслевых принципов гражданского права // Исторические, философские, политические и юридические науки, культурология и искусствоведение. Вопросы теории и практики. – 2011. – №7 (13). – Ч. 2. – С. 44–46. – 0,2 п.л. 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Системообразующие факторы в гражданском праве: философско-правовой аспект // Закон и право. – 2011. – №12. – С. 58–62. – 0,3 п.л.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Принципы стабильности и реальности как фундаментальные (системообразующие) принципы гражданского права // Ученые труды Российской академии адвокатуры и нотариата. – 2011. – №4. – С. 78–82. – 0,3 п.л. 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Общие и специальные гражданско-правовые нормы в отраслевой системе права // Бизнес в законе. – 2012. – №2. – С. 62–66. – 0,3 п.л.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Гражданско-правовая норма как фундаментальный элемент системной структуры гражданского права // Пробелы в российском законодательстве. – 2012. – №2. – С. 52–55. – 0,25 п.л. 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Системное единство гражданского права// Гражданское право. – 2012. – №3. – С. 11–13.  – 0,15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 xml:space="preserve">Васильев В.В. </w:t>
      </w:r>
      <w:r w:rsidRPr="008E4092">
        <w:rPr>
          <w:rFonts w:ascii="Times New Roman" w:hAnsi="Times New Roman"/>
          <w:sz w:val="28"/>
          <w:szCs w:val="28"/>
        </w:rPr>
        <w:t xml:space="preserve">Понятие «структурный элемент гражданского права»: от философского знания к правовой сущности // Исторические, философские, политические и юридические науки, культурология и искусствоведение. Вопросы теории и практики. – 2012. – №4 (18). – Ч. 1. – С. 39–41. – 0,2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Особенности гражданско-правовой нормы как структурного элемента системы гражданского права // Российский научный журнал. – 2012. – №2 (27). – С. 305–307. – 0,2 п.л.  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Гражданско-правовая норма: от особенностей к сущности // Ученые труды Российской академии адвокатуры и нотариата. – 2012. –  №1. – С. 81–83. – 0,3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Понятие гражданско-правового института как структурного элемента системы гражданского права // Вестник Пермского государственного университета. Сер.«Юридические науки». – 2012. – №1 (15). – С. 98–103. – 0,35 п.л.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Актуальные аспекты системы общих институтов гражданского права // Гражданское право. – 2012. – №6. – С. 3–5. – 0,15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В.В., Ченцов Н.В.</w:t>
      </w:r>
      <w:r w:rsidRPr="008E4092">
        <w:rPr>
          <w:rFonts w:ascii="Times New Roman" w:hAnsi="Times New Roman"/>
          <w:sz w:val="28"/>
          <w:szCs w:val="28"/>
        </w:rPr>
        <w:t xml:space="preserve"> Межотраслевые институты в системе гражданского права // Российский научный журнал. – 2012. – №3 (28). – С. 282–285. – 0,3 п.л.   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Подотрасль гражданского права: понятие и сущность // Проблемы права. – 2012. – №4. – С. 152–155. – 0,25 п.л.  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Принципы гражданского права как системообразующий фактор // Вестник Тверского государственного университета. Сер. «Право». – 2012. – №11. – С. 20–31. – 0,4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Понятие интеллектуальной собственности в законодательстве Российской Федерации // Проблемы права. – 2012.– №5. – С. 109–112. – 0,3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Конституционные основы системы гражданского права// Вестник Тверского государственного университета. Сер. «Право». – 2012. – № 19. – С. 55–59. – 0,3 п.л. 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Интеллектуальная и вещная собственность: к вопросу о дифференциации понятий // Проблемы права. – 2012. – № 6 (37). – С. 91–94. – 0,25 п.л.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В.В., Каплунов И.А., Колесникова О.Ю.</w:t>
      </w:r>
      <w:r w:rsidRPr="008E4092">
        <w:rPr>
          <w:rFonts w:ascii="Times New Roman" w:hAnsi="Times New Roman"/>
          <w:sz w:val="28"/>
          <w:szCs w:val="28"/>
        </w:rPr>
        <w:t xml:space="preserve"> Лицензионный договор в системе обязательств подотрасли права интеллектуальной собственности // Проблемы права. – 2012. – № 6 (37). – С. 95–100. – 0,3 п.л. 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Право интеллектуальной собственности в системе российского права // Вестник Тверского государственного университета. Серия «Право». – 2012. – №29. – С. 32–37. – 0,35 п.л.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Интеллектуальная собственность как вид собственности (Часть 1) // Пробелы в российском законодательстве. – 2012. – №5. – С. 63–68. – 0,35 п.л.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Интеллектуальная собственность как вид собственности (Часть 2) // Пробелы в российском законодательстве. – 2012. – №6. – С. 92–95. – 0,25 п.л.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 </w:t>
      </w:r>
      <w:r w:rsidRPr="008E4092">
        <w:rPr>
          <w:rFonts w:ascii="Times New Roman" w:hAnsi="Times New Roman"/>
          <w:i/>
          <w:sz w:val="28"/>
          <w:szCs w:val="28"/>
        </w:rPr>
        <w:t xml:space="preserve">Васильев В.В., Каплунов И.А., Колесникова О.Ю. </w:t>
      </w:r>
      <w:r w:rsidRPr="008E4092">
        <w:rPr>
          <w:rFonts w:ascii="Times New Roman" w:hAnsi="Times New Roman"/>
          <w:sz w:val="28"/>
          <w:szCs w:val="28"/>
        </w:rPr>
        <w:t xml:space="preserve">К вопросу о понятии секрета производства (ноу-хау) в гражданском законодательстве // Проблемы права. – 2012. – №7. – С. 75–77. – 0,15 п.л.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Система подотрасли права интеллектуальной собственности // Бизнес в законе. – 2012. – №6. – С. 96–98. – 0,15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Актуальные аспекты правового регулирования лицензионного договора // Бизнес в законе. – 2012. – №6. – С. 99–102. – 0,2 п.л.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Единство и дифференциация гражданско-правовых норм // Вестник Тверского государственного университета. Серия «Право». – 2013. – №13. – С. 27–37. – 0,5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К вопросу о понятии гражданского права // Вестник Тверского государственного университета. Сер. «Право». – 2013. – №3. – С. 10–18. – 0,4 п.л.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57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 Внутриотраслевые связи гражданского права: к вопросу о понятии // Закон и право. – 2013. – №11. – С. 84–86. – 0,15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57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Гражданско-правовая институция как структурный элемент системы гражданского права: постановка проблемы // Право и государство: теория и практика. – 2013. – №11. – С. 31–34. – 0,2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57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Гражданское право в системе «право частное – право публичное» // Право и государство: теория и практика. – 2013. – №12. – С. 32–36. – 0,2 п.л.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57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Частное и публичное право: вопросы единства и дифференциации // Вестник Тверского государственного университета. Сер. «Право». – 2014. – №1. – С. 27–36. – 0,4 п.л.  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57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Принципы гражданского права в контексте взаимодействия права и экономики// Вестник Тверского государственного университета. Сер. «Право». – 2014. – № 3. – С. 288–297. – 0,4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57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Принцип стабильности как общепризнанный принцип и принцип гражданского права // Вестник Пермского университета. Сер. «Юридические науки». – 2014. – №3. – С. 92–97. – 0,3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Философско-правовая сущность принципа детерминизма в цивилистике: постановка проблемы // Вестник Тверского государственного университета. Сер. «Право». – 2014. – №3. – С. 30–37. – 0,3 п.л.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092">
        <w:rPr>
          <w:rFonts w:ascii="Times New Roman" w:hAnsi="Times New Roman"/>
          <w:sz w:val="28"/>
          <w:szCs w:val="28"/>
        </w:rPr>
        <w:t>Персоноцентризм</w:t>
      </w:r>
      <w:proofErr w:type="spellEnd"/>
      <w:r w:rsidRPr="008E4092">
        <w:rPr>
          <w:rFonts w:ascii="Times New Roman" w:hAnsi="Times New Roman"/>
          <w:sz w:val="28"/>
          <w:szCs w:val="28"/>
        </w:rPr>
        <w:t xml:space="preserve"> как фактор детерминизма системы гражданского права // Вестник Тверского государственного университета. Сер. «Право». – 2014. – №4. – С. 40–54. – 0,5 п.л.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</w:t>
      </w:r>
      <w:r w:rsidRPr="008E4092">
        <w:rPr>
          <w:rFonts w:ascii="Times New Roman" w:hAnsi="Times New Roman"/>
          <w:sz w:val="28"/>
          <w:szCs w:val="28"/>
        </w:rPr>
        <w:t>В. Гражданско-правовой режим как фактор обеспечения системности гражданского права // Вестник Тверского государственного университета. Сер. «Право». – 2015. – №1. – С. 21–32. – 0,45 п.л.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</w:t>
      </w:r>
      <w:r w:rsidRPr="008E4092">
        <w:rPr>
          <w:rFonts w:ascii="Times New Roman" w:hAnsi="Times New Roman"/>
          <w:sz w:val="28"/>
          <w:szCs w:val="28"/>
        </w:rPr>
        <w:t>. К вопросу о соотношении системы гражданского права и системы гражданского законодательства // Вестник Тверского государственного университета. Сер. «Право». – 2015. – №2. – С. 19–26. – 0,35 п.л.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</w:t>
      </w:r>
      <w:r w:rsidRPr="008E4092">
        <w:rPr>
          <w:rFonts w:ascii="Times New Roman" w:hAnsi="Times New Roman"/>
          <w:sz w:val="28"/>
          <w:szCs w:val="28"/>
        </w:rPr>
        <w:t>. Типология внутриотраслевых связей в системе гражданского права // Вестник Тверского государственного университета. Сер. «Право». – 2015. – №3. – С. 53–59. – 0,25 п.л.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lastRenderedPageBreak/>
        <w:t>Васильев В</w:t>
      </w:r>
      <w:r w:rsidRPr="008E4092">
        <w:rPr>
          <w:rFonts w:ascii="Times New Roman" w:hAnsi="Times New Roman"/>
          <w:sz w:val="28"/>
          <w:szCs w:val="28"/>
        </w:rPr>
        <w:t>.</w:t>
      </w:r>
      <w:r w:rsidRPr="008E4092">
        <w:rPr>
          <w:rFonts w:ascii="Times New Roman" w:hAnsi="Times New Roman"/>
          <w:i/>
          <w:sz w:val="28"/>
          <w:szCs w:val="28"/>
        </w:rPr>
        <w:t>В., Ченцов Н.В.</w:t>
      </w:r>
      <w:r w:rsidRPr="008E4092">
        <w:rPr>
          <w:rFonts w:ascii="Times New Roman" w:hAnsi="Times New Roman"/>
          <w:sz w:val="28"/>
          <w:szCs w:val="28"/>
        </w:rPr>
        <w:t xml:space="preserve"> Задачи функционирования внутриотраслевых связей гражданского права // Вестник Тверского государственного университета. Сер. «Право». – 2015. – №4. – С. 9–13. – 0,15 п.л.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Методология исследования внутриотраслевых связей в гражданском праве // Вестник Пермского университета. Сер. «Юридические науки». – 2015. – №3. – С. 82–88. – 0,25 п.л.  </w:t>
      </w:r>
    </w:p>
    <w:p w:rsidR="002D07F8" w:rsidRPr="008E4092" w:rsidRDefault="002D07F8" w:rsidP="002D07F8">
      <w:pPr>
        <w:pStyle w:val="a6"/>
        <w:numPr>
          <w:ilvl w:val="0"/>
          <w:numId w:val="7"/>
        </w:numPr>
        <w:spacing w:line="420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</w:t>
      </w:r>
      <w:r w:rsidRPr="008E4092">
        <w:rPr>
          <w:rFonts w:ascii="Times New Roman" w:hAnsi="Times New Roman"/>
          <w:sz w:val="28"/>
          <w:szCs w:val="28"/>
        </w:rPr>
        <w:t xml:space="preserve">., </w:t>
      </w:r>
      <w:r w:rsidRPr="008E4092">
        <w:rPr>
          <w:rFonts w:ascii="Times New Roman" w:hAnsi="Times New Roman"/>
          <w:i/>
          <w:sz w:val="28"/>
          <w:szCs w:val="28"/>
        </w:rPr>
        <w:t xml:space="preserve">Ченцов Н.В. </w:t>
      </w:r>
      <w:r w:rsidRPr="008E4092">
        <w:rPr>
          <w:rFonts w:ascii="Times New Roman" w:hAnsi="Times New Roman"/>
          <w:sz w:val="28"/>
          <w:szCs w:val="28"/>
        </w:rPr>
        <w:t>К вопросу о внутриотраслевых связях общих институтов гражданского права</w:t>
      </w:r>
      <w:r w:rsidRPr="008E4092">
        <w:rPr>
          <w:rFonts w:ascii="Times New Roman" w:hAnsi="Times New Roman"/>
          <w:i/>
          <w:sz w:val="28"/>
          <w:szCs w:val="28"/>
        </w:rPr>
        <w:t xml:space="preserve"> // </w:t>
      </w:r>
      <w:r w:rsidRPr="008E4092">
        <w:rPr>
          <w:rFonts w:ascii="Times New Roman" w:hAnsi="Times New Roman"/>
          <w:sz w:val="28"/>
          <w:szCs w:val="28"/>
        </w:rPr>
        <w:t xml:space="preserve"> Вестник Тверского государственного университета. Сер. «Право». – 2016. – №4. – С. 7–13. – 0,18 п.л.</w:t>
      </w:r>
    </w:p>
    <w:p w:rsidR="002D07F8" w:rsidRPr="008E4092" w:rsidRDefault="002D07F8" w:rsidP="002D07F8">
      <w:pPr>
        <w:spacing w:line="420" w:lineRule="exact"/>
        <w:ind w:left="36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4092">
        <w:rPr>
          <w:rFonts w:ascii="Times New Roman" w:hAnsi="Times New Roman" w:cs="Times New Roman"/>
          <w:b/>
          <w:sz w:val="28"/>
          <w:szCs w:val="28"/>
        </w:rPr>
        <w:t>Монографии</w:t>
      </w:r>
      <w:r w:rsidR="008E4092">
        <w:rPr>
          <w:rFonts w:ascii="Times New Roman" w:hAnsi="Times New Roman" w:cs="Times New Roman"/>
          <w:b/>
          <w:sz w:val="28"/>
          <w:szCs w:val="28"/>
        </w:rPr>
        <w:t xml:space="preserve"> и главы в коллективных монографиях</w:t>
      </w:r>
    </w:p>
    <w:p w:rsidR="002D07F8" w:rsidRPr="008E4092" w:rsidRDefault="002D07F8" w:rsidP="002D07F8">
      <w:pPr>
        <w:spacing w:after="200" w:line="420" w:lineRule="exac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i/>
          <w:sz w:val="28"/>
          <w:szCs w:val="28"/>
        </w:rPr>
        <w:t>1. 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Системообразующие факторы отрасли гражданского права. – Тверь: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. гос. ун-т, 2011. – 133 с. – 8,25 п.л. </w:t>
      </w:r>
    </w:p>
    <w:p w:rsidR="002D07F8" w:rsidRPr="008E4092" w:rsidRDefault="002D07F8" w:rsidP="002D07F8">
      <w:pPr>
        <w:spacing w:after="200" w:line="420" w:lineRule="exac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i/>
          <w:sz w:val="28"/>
          <w:szCs w:val="28"/>
        </w:rPr>
        <w:t>2. 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Структурные элементы системы гражданского права / под ред. заслуженного юриста РФ, проф. Н.В. Ченцова. – Тверь: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. гос. ун-т, 2012. – 169 с.  – 10,5 п.л. </w:t>
      </w:r>
    </w:p>
    <w:p w:rsidR="002D07F8" w:rsidRPr="008E4092" w:rsidRDefault="002D07F8" w:rsidP="002D07F8">
      <w:pPr>
        <w:spacing w:after="200" w:line="420" w:lineRule="exac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i/>
          <w:sz w:val="28"/>
          <w:szCs w:val="28"/>
        </w:rPr>
        <w:t xml:space="preserve">3. Васильев В.В. </w:t>
      </w:r>
      <w:r w:rsidRPr="008E4092">
        <w:rPr>
          <w:rFonts w:ascii="Times New Roman" w:hAnsi="Times New Roman" w:cs="Times New Roman"/>
          <w:sz w:val="28"/>
          <w:szCs w:val="28"/>
        </w:rPr>
        <w:t xml:space="preserve">Доктрины и школы в развитии науки частного права // Концепция частного и публичного права. Азбука частного права: коллективная монография / под ред. В.И. Иванова, Ю.С. Харитоновой. – М.: ЮНИТИ-ДАНА, 2015. – Гл. 3. – С. 16–29. – 0,7 п.л. </w:t>
      </w:r>
    </w:p>
    <w:p w:rsidR="002D07F8" w:rsidRPr="008E4092" w:rsidRDefault="002D07F8" w:rsidP="002D07F8">
      <w:pPr>
        <w:spacing w:after="200" w:line="420" w:lineRule="exact"/>
        <w:ind w:left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4.  </w:t>
      </w:r>
      <w:r w:rsidRPr="008E4092">
        <w:rPr>
          <w:rFonts w:ascii="Times New Roman" w:hAnsi="Times New Roman" w:cs="Times New Roman"/>
          <w:i/>
          <w:sz w:val="28"/>
          <w:szCs w:val="28"/>
        </w:rPr>
        <w:t xml:space="preserve">Васильев В.В. </w:t>
      </w:r>
      <w:r w:rsidRPr="008E4092">
        <w:rPr>
          <w:rFonts w:ascii="Times New Roman" w:hAnsi="Times New Roman" w:cs="Times New Roman"/>
          <w:sz w:val="28"/>
          <w:szCs w:val="28"/>
        </w:rPr>
        <w:t xml:space="preserve">Проблемы правосознания. Идеология и психология права. Правопорядок // Концепция частного и публичного права. Азбука частного права: коллективная монография / под ред. В.И. Иванова, Ю.С. Харитоновой. – М.: ЮНИТИ-ДАНА, 2015. – Гл. 8. – С. 99–118. – 1,1 п.л.  </w:t>
      </w:r>
    </w:p>
    <w:p w:rsidR="002D07F8" w:rsidRPr="008E4092" w:rsidRDefault="002D07F8" w:rsidP="002D07F8">
      <w:pPr>
        <w:spacing w:after="200" w:line="420" w:lineRule="exac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i/>
          <w:sz w:val="28"/>
          <w:szCs w:val="28"/>
        </w:rPr>
        <w:t>5. 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Теоретические проблемы детерминизма в системе гражданского права Российской Федерации. – М.: ЮНИТИ-ДАНА, 2015. – 351 с. – 22 п.л.  </w:t>
      </w:r>
    </w:p>
    <w:p w:rsidR="00C214E9" w:rsidRPr="008E4092" w:rsidRDefault="00C214E9" w:rsidP="00C21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 </w:t>
      </w:r>
      <w:proofErr w:type="spellStart"/>
      <w:r w:rsidRPr="008E4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Scopus</w:t>
      </w:r>
      <w:proofErr w:type="spellEnd"/>
    </w:p>
    <w:p w:rsidR="008E4092" w:rsidRPr="008E4092" w:rsidRDefault="008E4092" w:rsidP="008E4092">
      <w:pPr>
        <w:pStyle w:val="a6"/>
        <w:numPr>
          <w:ilvl w:val="0"/>
          <w:numId w:val="8"/>
        </w:numPr>
        <w:spacing w:line="420" w:lineRule="exact"/>
        <w:jc w:val="both"/>
        <w:rPr>
          <w:rStyle w:val="style1"/>
          <w:rFonts w:ascii="Times New Roman" w:hAnsi="Times New Roman"/>
          <w:sz w:val="28"/>
          <w:szCs w:val="28"/>
          <w:lang w:val="en-US"/>
        </w:rPr>
      </w:pPr>
      <w:proofErr w:type="spellStart"/>
      <w:r w:rsidRPr="008E4092">
        <w:rPr>
          <w:rFonts w:ascii="Times New Roman" w:hAnsi="Times New Roman"/>
          <w:color w:val="000000"/>
          <w:sz w:val="28"/>
          <w:szCs w:val="28"/>
          <w:lang w:val="en-US"/>
        </w:rPr>
        <w:t>Vasilyev</w:t>
      </w:r>
      <w:proofErr w:type="spellEnd"/>
      <w:r w:rsidRPr="008E4092">
        <w:rPr>
          <w:rFonts w:ascii="Times New Roman" w:hAnsi="Times New Roman"/>
          <w:color w:val="000000"/>
          <w:sz w:val="28"/>
          <w:szCs w:val="28"/>
          <w:lang w:val="en-US"/>
        </w:rPr>
        <w:t xml:space="preserve"> V.V</w:t>
      </w:r>
      <w:r w:rsidRPr="008E4092">
        <w:rPr>
          <w:rFonts w:ascii="Times New Roman" w:hAnsi="Times New Roman"/>
          <w:color w:val="385984"/>
          <w:sz w:val="28"/>
          <w:szCs w:val="28"/>
          <w:lang w:val="en-US"/>
        </w:rPr>
        <w:t xml:space="preserve">. </w:t>
      </w:r>
      <w:r w:rsidRPr="008E4092">
        <w:rPr>
          <w:rStyle w:val="style13"/>
          <w:rFonts w:ascii="Times New Roman" w:hAnsi="Times New Roman"/>
          <w:color w:val="000000"/>
          <w:sz w:val="28"/>
          <w:szCs w:val="28"/>
          <w:lang w:val="en-US"/>
        </w:rPr>
        <w:t xml:space="preserve">Intellectual Property as a Type of Property: The Russian Federation Law and Legal Doctrine // </w:t>
      </w:r>
      <w:r w:rsidRPr="008E409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Middle-East Journal of Scientific Research</w:t>
      </w:r>
      <w:r w:rsidRPr="008E4092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– </w:t>
      </w:r>
      <w:r w:rsidRPr="008E409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2013</w:t>
      </w:r>
      <w:r w:rsidRPr="008E4092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8E4092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– № </w:t>
      </w:r>
      <w:r w:rsidRPr="008E4092">
        <w:rPr>
          <w:rStyle w:val="style14"/>
          <w:rFonts w:ascii="Times New Roman" w:hAnsi="Times New Roman"/>
          <w:color w:val="000000"/>
          <w:sz w:val="28"/>
          <w:szCs w:val="28"/>
          <w:lang w:val="en-US"/>
        </w:rPr>
        <w:t>4</w:t>
      </w:r>
      <w:r w:rsidRPr="008E4092">
        <w:rPr>
          <w:rStyle w:val="style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8E4092">
        <w:rPr>
          <w:rStyle w:val="style14"/>
          <w:rFonts w:ascii="Times New Roman" w:hAnsi="Times New Roman"/>
          <w:color w:val="000000"/>
          <w:sz w:val="28"/>
          <w:szCs w:val="28"/>
          <w:lang w:val="en-US"/>
        </w:rPr>
        <w:t>Vol. 15.</w:t>
      </w:r>
      <w:r w:rsidRPr="008E4092">
        <w:rPr>
          <w:rStyle w:val="apple-converted-space"/>
          <w:rFonts w:ascii="Times New Roman" w:hAnsi="Times New Roman"/>
          <w:color w:val="385984"/>
          <w:sz w:val="28"/>
          <w:szCs w:val="28"/>
          <w:lang w:val="en-US"/>
        </w:rPr>
        <w:t> </w:t>
      </w:r>
      <w:r w:rsidRPr="008E4092">
        <w:rPr>
          <w:rStyle w:val="style1"/>
          <w:rFonts w:ascii="Times New Roman" w:hAnsi="Times New Roman"/>
          <w:color w:val="385984"/>
          <w:sz w:val="28"/>
          <w:szCs w:val="28"/>
          <w:lang w:val="en-US"/>
        </w:rPr>
        <w:t xml:space="preserve">– </w:t>
      </w:r>
      <w:r w:rsidRPr="008E4092">
        <w:rPr>
          <w:rStyle w:val="style1"/>
          <w:rFonts w:ascii="Times New Roman" w:hAnsi="Times New Roman"/>
          <w:color w:val="000000"/>
          <w:sz w:val="28"/>
          <w:szCs w:val="28"/>
          <w:lang w:val="en-US"/>
        </w:rPr>
        <w:t>P. 601–605</w:t>
      </w:r>
      <w:r w:rsidRPr="008E4092">
        <w:rPr>
          <w:rFonts w:ascii="Times New Roman" w:hAnsi="Times New Roman"/>
          <w:sz w:val="28"/>
          <w:szCs w:val="28"/>
          <w:lang w:val="en-US"/>
        </w:rPr>
        <w:t>. –</w:t>
      </w:r>
      <w:r w:rsidRPr="008E4092">
        <w:rPr>
          <w:rStyle w:val="style1"/>
          <w:rFonts w:ascii="Times New Roman" w:hAnsi="Times New Roman"/>
          <w:color w:val="385984"/>
          <w:sz w:val="28"/>
          <w:szCs w:val="28"/>
          <w:lang w:val="en-US"/>
        </w:rPr>
        <w:t xml:space="preserve"> </w:t>
      </w:r>
      <w:r w:rsidRPr="008E4092">
        <w:rPr>
          <w:rFonts w:ascii="Times New Roman" w:hAnsi="Times New Roman"/>
          <w:sz w:val="28"/>
          <w:szCs w:val="28"/>
          <w:lang w:val="en-US"/>
        </w:rPr>
        <w:t xml:space="preserve">0,3 </w:t>
      </w:r>
      <w:r w:rsidRPr="008E4092">
        <w:rPr>
          <w:rFonts w:ascii="Times New Roman" w:hAnsi="Times New Roman"/>
          <w:sz w:val="28"/>
          <w:szCs w:val="28"/>
        </w:rPr>
        <w:t>п</w:t>
      </w:r>
      <w:r w:rsidRPr="008E4092">
        <w:rPr>
          <w:rFonts w:ascii="Times New Roman" w:hAnsi="Times New Roman"/>
          <w:sz w:val="28"/>
          <w:szCs w:val="28"/>
          <w:lang w:val="en-US"/>
        </w:rPr>
        <w:t>.</w:t>
      </w:r>
      <w:r w:rsidRPr="008E4092">
        <w:rPr>
          <w:rFonts w:ascii="Times New Roman" w:hAnsi="Times New Roman"/>
          <w:sz w:val="28"/>
          <w:szCs w:val="28"/>
        </w:rPr>
        <w:t>л</w:t>
      </w:r>
      <w:r w:rsidRPr="008E4092">
        <w:rPr>
          <w:rFonts w:ascii="Times New Roman" w:hAnsi="Times New Roman"/>
          <w:sz w:val="28"/>
          <w:szCs w:val="28"/>
          <w:lang w:val="en-US"/>
        </w:rPr>
        <w:t>.</w:t>
      </w:r>
      <w:r w:rsidRPr="008E4092">
        <w:rPr>
          <w:rStyle w:val="style1"/>
          <w:rFonts w:ascii="Times New Roman" w:hAnsi="Times New Roman"/>
          <w:color w:val="385984"/>
          <w:sz w:val="28"/>
          <w:szCs w:val="28"/>
          <w:lang w:val="en-US"/>
        </w:rPr>
        <w:t xml:space="preserve">  </w:t>
      </w:r>
    </w:p>
    <w:p w:rsidR="00C214E9" w:rsidRPr="008E4092" w:rsidRDefault="00C214E9" w:rsidP="00C21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 в периодических изданиях</w:t>
      </w:r>
      <w:r w:rsidR="008E4092" w:rsidRPr="008E4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сборниках конференций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Форма договора социального найма жилого помещения // Право и государство: теория  и практика. – 2004. – №4. – С. 10–12. – 0,15 п.л.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lastRenderedPageBreak/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О понятии договора социального найма жилого помещения // Право: теория и практика. – 2004. – №3. – С. 13–16. – 0,2 п.л.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О месте жилищного права в системе российского права// Вестник Тверского государственного университета. Серия «Право». – 2006. – №9 (26). – С. 160–164. – 0,25 п.л.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</w:t>
      </w:r>
      <w:r w:rsidRPr="008E4092">
        <w:rPr>
          <w:rFonts w:ascii="Times New Roman" w:hAnsi="Times New Roman"/>
          <w:sz w:val="28"/>
          <w:szCs w:val="28"/>
        </w:rPr>
        <w:t>. Объекты гражданских прав // Вестник Тверского государственного университета. Серия «Право». – 2006. – №9 (37). – С. 4–10. – 0,35 п.л.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Некоторые проблемы участия адвоката в спорах, связанных с защитой жилищных прав несовершеннолетних // Вестник Тверского государственного университета. Сер. «Право». – 2007. – №4 (32). – С. 41–46. – 0,3 п.л.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t>Васильев В.В</w:t>
      </w:r>
      <w:r w:rsidRPr="008E4092">
        <w:rPr>
          <w:rFonts w:ascii="Times New Roman" w:hAnsi="Times New Roman"/>
          <w:sz w:val="28"/>
          <w:szCs w:val="28"/>
        </w:rPr>
        <w:t xml:space="preserve">. Понятие системы отрасли гражданского права // Правовая система России: современное состояние и актуальные проблемы: материалы III Всероссийской научно-практической (заочной) конференции. – М., 2010. – С. 27–32. – 0,3 п.л. 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К вопросу о понятии системы гражданского права // Актуальные проблемы права России и стран СНГ – 2010: материалы XII Международной научно-практической конференции с элементами научной школы: в 6 ч. Часть III. Гражданское и предпринимательское право. Гражданский и арбитражный процесс. Информационное право (юридический факультет Южно-Уральского государственного университета, 1–2 апреля 2010 г.). – Челябинск, 2010. – С. 14–17. – 0,25 п.л.   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Некоторые актуальные аспекты в Концепции совершенствования общих положений Гражданского кодекса РФ // Вестник Адвокатской палаты Тверской области. – 2010. – №2 (18). – С. 80–86. – 0,3 п.л.  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К вопросу о признаках имущественных отношений, составляющих предмет гражданско-правового регулирования // Экономика, социология, право: новые вызовы и перспективы: материалы научно-практической конференции 10–15 мая 2010 г.: в 2 т. – М., 2010. – Т. 2. – С. 30–32. – 0,15 п.л.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pacing w:val="-4"/>
          <w:sz w:val="28"/>
          <w:szCs w:val="28"/>
        </w:rPr>
        <w:t>Васильев В.В.</w:t>
      </w:r>
      <w:r w:rsidRPr="008E4092">
        <w:rPr>
          <w:rFonts w:ascii="Times New Roman" w:hAnsi="Times New Roman"/>
          <w:spacing w:val="-4"/>
          <w:sz w:val="28"/>
          <w:szCs w:val="28"/>
        </w:rPr>
        <w:t xml:space="preserve"> Имущественные отношения в предмете гражданского права // Научные труды Могилевского филиала БИП: Право. Политика. Экономика </w:t>
      </w:r>
      <w:r w:rsidRPr="008E4092">
        <w:rPr>
          <w:rFonts w:ascii="Times New Roman" w:hAnsi="Times New Roman"/>
          <w:spacing w:val="-4"/>
          <w:sz w:val="28"/>
          <w:szCs w:val="28"/>
        </w:rPr>
        <w:lastRenderedPageBreak/>
        <w:t xml:space="preserve">/ БИП. Институт правоведения; под ред. А.А. </w:t>
      </w:r>
      <w:proofErr w:type="spellStart"/>
      <w:r w:rsidRPr="008E4092">
        <w:rPr>
          <w:rFonts w:ascii="Times New Roman" w:hAnsi="Times New Roman"/>
          <w:spacing w:val="-4"/>
          <w:sz w:val="28"/>
          <w:szCs w:val="28"/>
        </w:rPr>
        <w:t>Скикевича</w:t>
      </w:r>
      <w:proofErr w:type="spellEnd"/>
      <w:r w:rsidRPr="008E4092">
        <w:rPr>
          <w:rFonts w:ascii="Times New Roman" w:hAnsi="Times New Roman"/>
          <w:spacing w:val="-4"/>
          <w:sz w:val="28"/>
          <w:szCs w:val="28"/>
        </w:rPr>
        <w:t>.</w:t>
      </w:r>
      <w:r w:rsidRPr="008E4092">
        <w:rPr>
          <w:rFonts w:ascii="Times New Roman" w:hAnsi="Times New Roman"/>
          <w:sz w:val="28"/>
          <w:szCs w:val="28"/>
        </w:rPr>
        <w:t xml:space="preserve">– Могилев, 2010. – </w:t>
      </w:r>
      <w:proofErr w:type="spellStart"/>
      <w:r w:rsidRPr="008E4092">
        <w:rPr>
          <w:rFonts w:ascii="Times New Roman" w:hAnsi="Times New Roman"/>
          <w:sz w:val="28"/>
          <w:szCs w:val="28"/>
        </w:rPr>
        <w:t>Вып</w:t>
      </w:r>
      <w:proofErr w:type="spellEnd"/>
      <w:r w:rsidRPr="008E4092">
        <w:rPr>
          <w:rFonts w:ascii="Times New Roman" w:hAnsi="Times New Roman"/>
          <w:sz w:val="28"/>
          <w:szCs w:val="28"/>
        </w:rPr>
        <w:t xml:space="preserve">. 10. – Ч. 1. – С. 66–72. – 0,3 п.л.   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К вопросу о соотношении принципов и системы гражданского права //Правовая система современного государства: актуальные проблемы и перспективы развития: материалы I Всероссийской научно-практической (заочной) конференции. – М., 2011. – С. 27–30. – 0,2 п.л.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Владение в системе отрасли гражданского права // I Международная заочная научно-практическая конференция «Социально-гуманитарные и юридические науки: современные тренды в изменяющемся мире»: сборник материалов конференции (27.01.2011 г.). – Краснодар, 2011. – С. 248–249. – 0,1 п.л. 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Особенности метода гражданско-правового регулирования как системообразующего фактора отрасли гражданского права // Юриспруденция в современной России: материалы Всероссийской заочной научно-практической конференции (05.03.2011 г.) – Новосибирск, 2011. – С. 78–81. – 0,2 п.л. 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Имущественные отношения в предмете гражданского права // Вестник Тверского государственного университета. Сер. «Право». 2011. – С. 54–61. – 0,35 п.л.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Система как фундаментальная правовая категория // Законность и правопорядок в современном обществе: сборник материалов III Международной научно-практической конференции / под общей ред. С.С.Чернова. – Новосибирск, 2011. – С. 275–280. – 0,3 п.л.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Системность как философско-правовая категория // Сборник трудов Международной заочной научной конференции «Государство и право: теория и практика». – Чита, 2011. – С. 15–17. – 0,15 п.л.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От философского понятия системности к понятию системности права // Правовая Россия: теория и практика: сборник материалов I Всероссийской научно-практической конференции. – Йошкар-Ола, 2011. – С. 44–46. – 0,15 п.л.   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 </w:t>
      </w:r>
      <w:r w:rsidRPr="008E4092">
        <w:rPr>
          <w:rFonts w:ascii="Times New Roman" w:hAnsi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/>
          <w:sz w:val="28"/>
          <w:szCs w:val="28"/>
        </w:rPr>
        <w:t xml:space="preserve"> К вопросу о понятии функций гражданского права // Вестник Тверского государственного университета. Серия «Право». – 2011. – №14. – С. 17–25. – 0,4 п.л. </w:t>
      </w:r>
    </w:p>
    <w:p w:rsidR="008E4092" w:rsidRPr="008E4092" w:rsidRDefault="008E4092" w:rsidP="008E4092">
      <w:pPr>
        <w:pStyle w:val="a6"/>
        <w:numPr>
          <w:ilvl w:val="0"/>
          <w:numId w:val="9"/>
        </w:numPr>
        <w:spacing w:line="42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i/>
          <w:sz w:val="28"/>
          <w:szCs w:val="28"/>
        </w:rPr>
        <w:lastRenderedPageBreak/>
        <w:t xml:space="preserve"> Васильев В.В.</w:t>
      </w:r>
      <w:r w:rsidRPr="008E4092">
        <w:rPr>
          <w:rFonts w:ascii="Times New Roman" w:hAnsi="Times New Roman"/>
          <w:sz w:val="28"/>
          <w:szCs w:val="28"/>
        </w:rPr>
        <w:t xml:space="preserve"> К вопросу о взаимосвязи морально-этических принципов и системы гражданского права // Право как основа современного общества: материалы III Международной научно-практической конференции (07.09.2011г.). – М., 2011. – С. 54–56. – 0,1 п.л.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К вопросу о сущности общественных отношений, составляющих предмет гражданского права// Вестник Тверского государственного университета. Сер. «Право». – 2011. – № 28. – С. 4–10. – 0,3 п.л.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Некоторые актуальные вопросы системы гражданского права // Право и его реализация в XXI веке: сборник научных трудов (по материалам Международной научно-практической конференции, посвященной 80-летию Саратовской государственной юридической академии (Саратов, 29–30 сентября 2011 г.): в 2 ч. / под общ. ред. С.Н. Туманова. – Саратов, 2011. – Ч. 1. – С. 74–75. – 0,1 п.л. 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О новых подходах к принципам гражданского права // Законность в экономической сфере как необходимый фактор благоприятного инвестиционного климата: материалы VI Ежегодных научных чтений памяти профессора С.Н.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Братуся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 (Москва, 26 октября 2011 г.) / отв. ред. Н.Г. Доронина, А.В.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Габов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. – М.: ИД «Юриспруденция», 2012. – С. 138–143. – 0,3 п.л.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К вопросу о дифференциации функций гражданского права // Правовая наука: научно-практический журнал.– 2012. – №1 (4). – С. 3–9. – 0,3 п.л.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Сущность метода гражданско-правового регулирования в современных реалиях // Юридическая наука. – 2012. – №2. – С. 61–65. – 0,2 п.л.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К вопросу о соотношении понятий «гражданско-правовая норма» и «гражданско-правовое предписание» // Вопросы современной юриспруденции: материалы Международной заочной научно-практической конференции (06 февраля 2012 г.). – Новосибирск, 2012. – С. 49–52. – 0,15 п.л.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 xml:space="preserve">Васильев В.В. </w:t>
      </w:r>
      <w:r w:rsidRPr="008E4092">
        <w:rPr>
          <w:rFonts w:ascii="Times New Roman" w:hAnsi="Times New Roman" w:cs="Times New Roman"/>
          <w:sz w:val="28"/>
          <w:szCs w:val="28"/>
        </w:rPr>
        <w:t xml:space="preserve">Философско-правовая сущность понятия «структурный элемент системы гражданского права» // Конвергенция частного и публичного права: проблемы теории и практики: сборник материалов Всероссийской научно-практической конференции, посвященной памяти профессора Н.М. </w:t>
      </w:r>
      <w:r w:rsidRPr="008E4092">
        <w:rPr>
          <w:rFonts w:ascii="Times New Roman" w:hAnsi="Times New Roman" w:cs="Times New Roman"/>
          <w:sz w:val="28"/>
          <w:szCs w:val="28"/>
        </w:rPr>
        <w:lastRenderedPageBreak/>
        <w:t xml:space="preserve">Коршунова / отв. ред. Ю.С. Харитонова. – М.: МАЭП, 2012. – С. 118–122. – 0,15 п.л.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Основные свойства гражданско-правового института: вопросы теории // Вестник Тверского государственного университета. Сер. «Право». – 2012. – №6. – С. 6–12. – 0,3 п.л.    </w:t>
      </w:r>
    </w:p>
    <w:p w:rsidR="008E4092" w:rsidRPr="008E4092" w:rsidRDefault="008E4092" w:rsidP="008E40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exact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Нравственная и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правосозидательная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 функции гражданского права </w:t>
      </w:r>
      <w:r w:rsidRPr="008E4092">
        <w:rPr>
          <w:rFonts w:ascii="Times New Roman" w:hAnsi="Times New Roman" w:cs="Times New Roman"/>
          <w:color w:val="000000"/>
          <w:sz w:val="28"/>
          <w:szCs w:val="28"/>
        </w:rPr>
        <w:t xml:space="preserve">// Правовое регулирование экономического и социального развития Российской Федерации: материалы международной научной конференции. –  Волгоград, 26-27 апреля 2012 года / Волгоградский институт бизнеса. – Волгоград: Издательство </w:t>
      </w:r>
      <w:proofErr w:type="spellStart"/>
      <w:r w:rsidRPr="008E4092">
        <w:rPr>
          <w:rFonts w:ascii="Times New Roman" w:hAnsi="Times New Roman" w:cs="Times New Roman"/>
          <w:color w:val="000000"/>
          <w:sz w:val="28"/>
          <w:szCs w:val="28"/>
        </w:rPr>
        <w:t>ВолГМУ</w:t>
      </w:r>
      <w:proofErr w:type="spellEnd"/>
      <w:r w:rsidRPr="008E4092">
        <w:rPr>
          <w:rFonts w:ascii="Times New Roman" w:hAnsi="Times New Roman" w:cs="Times New Roman"/>
          <w:color w:val="000000"/>
          <w:sz w:val="28"/>
          <w:szCs w:val="28"/>
        </w:rPr>
        <w:t>, 2012. – С. 38 – 42. – 0,15 п.л.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К вопросу о сущности структурного элемента системы гражданского права // Юридические науки: проблемы и перспективы: материалы Международной заочной научной конференции (г. Пермь, 2012). – Пермь, 2012. – С. 69–71. – 0,1 п.л.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Системообразующее значение предмета гражданского права // Перспективы и ретроспективы права. – 2012. – №3. – С. 76–79. – 0,15 п.л.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Межотраслевые институты в системе гражданского права // Юридическая наука и правоприменение (V Саратовские правовые чтения): сборник тезисов докладов Всероссийской научно-практической конференции (г. Саратов, 1–2 июня 2012 г.) – Саратов: Изд-во ФГБОУ ВПО «Саратовская государственная юридическая академия», 2012. – С. 246–247. – 0,1 п.л. 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Гражданско-правовая сущность медицинской услуги //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 право (Украина). – 2012. – №10. – С. 32–36. – 0,25 п.л.   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Подотрасли гражданского права: единство и дифференциация // Право и политика: теоретические и практические проблемы: сборник материалов 1-й  Международной научно-практической конференции (2 ноября 2012 г.) / отв. ред. А.В. Малько; Рязанский ун-т им. С.А. Есенина – Рязань, 2012. – С. 235–237. – 0,15 п.л.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Васильев В.В. Метод гражданско-правового регулирования в свете конвергенции частного и публичного права// Конвергенция частного и публичного права: проблемы теории и практики: сборник материалов Всероссийской научно-практической конференции, посвященной памяти профессо</w:t>
      </w:r>
      <w:r w:rsidRPr="008E4092">
        <w:rPr>
          <w:rFonts w:ascii="Times New Roman" w:hAnsi="Times New Roman" w:cs="Times New Roman"/>
          <w:sz w:val="28"/>
          <w:szCs w:val="28"/>
        </w:rPr>
        <w:lastRenderedPageBreak/>
        <w:t xml:space="preserve">ра Н.М. Коршунова / отв. ред. Ю.С. Харитонова. – М.: МАЭП, 2013. – С. 145–148. – 0,2 п.л.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Понятие гражданского права: новый взгляд на проблему //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ГлаголЪ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  правосудия: сборник научных трудов / Вост.-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. ф-л. ФГБОУ ВПО «Российская академия правосудия».– Иркутск. – 2013. – №1.– С.121–125.– 0,2 п.л.   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Единство и дифференциация системы гражданского права // Научные труды. Российская академия юридических наук: в 2 т. – М.: Юрист, 2013. – Т. 2. – С. 38–41. – 0,15 п.л. 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Интеллектуальная собственность как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цивилистическая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 юридическая конструкция // Юридическая техника.– 2013. – №7, ч. 2. – С. 150–152. – 0,1 п.л. 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Гражданско-правовой институт в системе гражданского права // Алтайский юридический вестник. – 2013. – №2. – С. 37–40. – 0,2 п.л.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В.В., Ченцов Н.В.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Конституционные основы гражданского права в контексте теории конвергенции // Конвергенция частного и публичного права: экономические, социальные и правовые проблемы: Международная научно-практическая конференция (Тирасполь, 2013) / отв. ред. А.В.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Згурян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: в 2 т. – Тирасполь, 2013. – Т. 1. – С. 156–160. – 0,2 п.л.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Право интеллектуальной собственности // Правовая система общества: преемственность и модернизация: материалы Всероссийской научно-практической конференции (Барнаул, 4–5 октября 2012 года). – Барнаул: Изд-во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. ун-та, 2013. – С. 133–134. – 0,1 п.л.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К вопросу о критике теории отраслевой комплексности (на примере банковского, страхового и транспортного права) // Новая правовая мысль. – 2013. – №4. – С. 28–32. – 0,2 п.л. 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Сущность гражданского права в контексте конвергенции частного и публичного права // Европейский исследователь. – 2013. – №11-2. – C. 2732–2738. – 0,25 п.л.     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Системообразующие факторы в праве // Конституция, личность и суд в современной России: материалы научной конференции памяти профессора Н.В. Витрука / под ред. И.А. Алешковой, В.Н. Сафонова, И.А.Умновой – М.: РАП, 2013.</w:t>
      </w:r>
      <w:r w:rsidRPr="008E4092">
        <w:rPr>
          <w:rFonts w:ascii="Times New Roman" w:hAnsi="Times New Roman" w:cs="Times New Roman"/>
          <w:color w:val="000000"/>
          <w:sz w:val="28"/>
          <w:szCs w:val="28"/>
        </w:rPr>
        <w:t xml:space="preserve"> – С. 101–105. – 0,2 п.л.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E4092">
        <w:rPr>
          <w:rFonts w:ascii="Times New Roman" w:hAnsi="Times New Roman" w:cs="Times New Roman"/>
          <w:bCs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bCs/>
          <w:sz w:val="28"/>
          <w:szCs w:val="28"/>
        </w:rPr>
        <w:t xml:space="preserve"> Дуализм понимания сущности внутриотраслевых связей в гражданском праве // Научные воззрения профессора Г.Ф. Шершеневича в современных условиях конвергенции частного и публичного права (к 150-летию со дня рождения): сборник материалов Международной научно-практической конференции (г. Казань, 1–2 марта 2013 года) / под ред. Д.Х. Валеева, </w:t>
      </w:r>
      <w:proofErr w:type="spellStart"/>
      <w:r w:rsidRPr="008E4092">
        <w:rPr>
          <w:rFonts w:ascii="Times New Roman" w:hAnsi="Times New Roman" w:cs="Times New Roman"/>
          <w:bCs/>
          <w:sz w:val="28"/>
          <w:szCs w:val="28"/>
        </w:rPr>
        <w:t>К.Рончки</w:t>
      </w:r>
      <w:proofErr w:type="spellEnd"/>
      <w:r w:rsidRPr="008E4092">
        <w:rPr>
          <w:rFonts w:ascii="Times New Roman" w:hAnsi="Times New Roman" w:cs="Times New Roman"/>
          <w:bCs/>
          <w:sz w:val="28"/>
          <w:szCs w:val="28"/>
        </w:rPr>
        <w:t xml:space="preserve">, З.Ф. Сафина, М.Ю. Челышева. – М.: Статут, 2014. – С. 36–39. – 0,2 п.л.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Роль и значимость личности в контексте конвергенции частного и публичного права // Конвергенция частного и публичного права: первые итоги модернизации российского законодательства и перспективы его развития: сборник статей участников </w:t>
      </w:r>
      <w:r w:rsidRPr="008E40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4092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конференции, посвященной памяти Заслуженного юриста РФ, профессора Н.М. Коршунова (30.05.2014 г.) / отв. ред. Ю.С. Харитонова. – М., 2014. – С. 194–199. – 0,25 п.л. 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Персоноцентризм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 как стратегическая цель развития законодательства Российской Федерации // Юридическая техника. – 2015. – №9. – С. 170–172. – 0,15 п.л.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Персоноцентризм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 в системе гражданского права Российской Федерации // 20 лет Гражданскому кодексу Российской Федерации: итоги, тенденции и перспективы развития. Материалы Международной научно-практической конференции (г. Ульяновск, 12 декабря 2014 г.) / под ред. Н.А. Баринова, С.Ю. Морозова. – М.: Проспект, 2015. – С. 192–198. – 0,2 п.л.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i/>
          <w:sz w:val="28"/>
          <w:szCs w:val="28"/>
        </w:rPr>
        <w:t>Васильев В.В.</w:t>
      </w:r>
      <w:r w:rsidRPr="008E4092">
        <w:rPr>
          <w:rFonts w:ascii="Times New Roman" w:hAnsi="Times New Roman" w:cs="Times New Roman"/>
          <w:sz w:val="28"/>
          <w:szCs w:val="28"/>
        </w:rPr>
        <w:t xml:space="preserve"> Системность внутриотраслевых связей гражданского права как фактор эффективного частноправового регулирования экономики // Право и бизнес: конвергенция частного и публичного права в регулировании предпринимательской деятельности: сб. ст. участников </w:t>
      </w:r>
      <w:r w:rsidRPr="008E40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4092">
        <w:rPr>
          <w:rFonts w:ascii="Times New Roman" w:hAnsi="Times New Roman" w:cs="Times New Roman"/>
          <w:sz w:val="28"/>
          <w:szCs w:val="28"/>
        </w:rPr>
        <w:t xml:space="preserve"> Ежегодной международной конференции, посвященной памяти проф. Н.М. Коршунова. М., 2015. – С. 815–823.</w:t>
      </w:r>
    </w:p>
    <w:p w:rsidR="008E4092" w:rsidRPr="008E4092" w:rsidRDefault="008E4092" w:rsidP="008E4092">
      <w:pPr>
        <w:numPr>
          <w:ilvl w:val="0"/>
          <w:numId w:val="9"/>
        </w:numPr>
        <w:spacing w:after="200" w:line="420" w:lineRule="exac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092">
        <w:rPr>
          <w:rFonts w:ascii="Times New Roman" w:hAnsi="Times New Roman" w:cs="Times New Roman"/>
          <w:i/>
          <w:sz w:val="28"/>
          <w:szCs w:val="28"/>
        </w:rPr>
        <w:t>Васильев В.В., Ченцов Н.В</w:t>
      </w:r>
      <w:r w:rsidRPr="008E4092">
        <w:rPr>
          <w:rFonts w:ascii="Times New Roman" w:hAnsi="Times New Roman" w:cs="Times New Roman"/>
          <w:sz w:val="28"/>
          <w:szCs w:val="28"/>
        </w:rPr>
        <w:t xml:space="preserve">. Семейное право как комплексная отрасль российского законодательства // Семейное право и законодательство: политические и социальные ориентиры совершенствования: Международная научно-практическая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. – Тверь: </w:t>
      </w:r>
      <w:proofErr w:type="spellStart"/>
      <w:r w:rsidRPr="008E4092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8E4092">
        <w:rPr>
          <w:rFonts w:ascii="Times New Roman" w:hAnsi="Times New Roman" w:cs="Times New Roman"/>
          <w:sz w:val="28"/>
          <w:szCs w:val="28"/>
        </w:rPr>
        <w:t xml:space="preserve">. гос. ун-т., 2015. – С. 43–46. – 0,1 п.л.            </w:t>
      </w:r>
    </w:p>
    <w:p w:rsidR="00C214E9" w:rsidRPr="00C214E9" w:rsidRDefault="00C214E9" w:rsidP="00C214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214E9" w:rsidRPr="00C214E9" w:rsidRDefault="00C214E9" w:rsidP="00C214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sectPr w:rsidR="00C214E9" w:rsidRPr="00C214E9" w:rsidSect="00BE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6FF"/>
    <w:multiLevelType w:val="multilevel"/>
    <w:tmpl w:val="B59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A2BDF"/>
    <w:multiLevelType w:val="hybridMultilevel"/>
    <w:tmpl w:val="96DAAECA"/>
    <w:lvl w:ilvl="0" w:tplc="253A7F0C">
      <w:start w:val="1"/>
      <w:numFmt w:val="decimal"/>
      <w:lvlText w:val="%1."/>
      <w:lvlJc w:val="left"/>
      <w:pPr>
        <w:ind w:left="567" w:hanging="20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4504"/>
    <w:multiLevelType w:val="hybridMultilevel"/>
    <w:tmpl w:val="96DAAECA"/>
    <w:lvl w:ilvl="0" w:tplc="253A7F0C">
      <w:start w:val="1"/>
      <w:numFmt w:val="decimal"/>
      <w:lvlText w:val="%1."/>
      <w:lvlJc w:val="left"/>
      <w:pPr>
        <w:ind w:left="567" w:hanging="20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72B"/>
    <w:multiLevelType w:val="multilevel"/>
    <w:tmpl w:val="5124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040ED"/>
    <w:multiLevelType w:val="multilevel"/>
    <w:tmpl w:val="1C70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572AF"/>
    <w:multiLevelType w:val="multilevel"/>
    <w:tmpl w:val="E27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94F45"/>
    <w:multiLevelType w:val="multilevel"/>
    <w:tmpl w:val="97E4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E2CAD"/>
    <w:multiLevelType w:val="hybridMultilevel"/>
    <w:tmpl w:val="96DAAECA"/>
    <w:lvl w:ilvl="0" w:tplc="253A7F0C">
      <w:start w:val="1"/>
      <w:numFmt w:val="decimal"/>
      <w:lvlText w:val="%1."/>
      <w:lvlJc w:val="left"/>
      <w:pPr>
        <w:ind w:left="567" w:hanging="20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C3BEB"/>
    <w:multiLevelType w:val="multilevel"/>
    <w:tmpl w:val="BF4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88B"/>
    <w:rsid w:val="000B056A"/>
    <w:rsid w:val="001C581D"/>
    <w:rsid w:val="002D07F8"/>
    <w:rsid w:val="004A2821"/>
    <w:rsid w:val="0052230C"/>
    <w:rsid w:val="006875C3"/>
    <w:rsid w:val="00795F67"/>
    <w:rsid w:val="008B180B"/>
    <w:rsid w:val="008E4092"/>
    <w:rsid w:val="00BA4D29"/>
    <w:rsid w:val="00BE264B"/>
    <w:rsid w:val="00C214E9"/>
    <w:rsid w:val="00D231B0"/>
    <w:rsid w:val="00D255AF"/>
    <w:rsid w:val="00D44D81"/>
    <w:rsid w:val="00D76421"/>
    <w:rsid w:val="00D77720"/>
    <w:rsid w:val="00DA100F"/>
    <w:rsid w:val="00DA388B"/>
    <w:rsid w:val="00F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E100-52C1-4097-98AA-98FFA38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64B"/>
  </w:style>
  <w:style w:type="paragraph" w:styleId="3">
    <w:name w:val="heading 3"/>
    <w:basedOn w:val="a"/>
    <w:link w:val="30"/>
    <w:uiPriority w:val="9"/>
    <w:qFormat/>
    <w:rsid w:val="00C21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4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4E9"/>
    <w:rPr>
      <w:color w:val="0000FF"/>
      <w:u w:val="single"/>
    </w:rPr>
  </w:style>
  <w:style w:type="character" w:styleId="a5">
    <w:name w:val="Strong"/>
    <w:basedOn w:val="a0"/>
    <w:uiPriority w:val="22"/>
    <w:qFormat/>
    <w:rsid w:val="00C214E9"/>
    <w:rPr>
      <w:b/>
      <w:bCs/>
    </w:rPr>
  </w:style>
  <w:style w:type="paragraph" w:styleId="a6">
    <w:name w:val="List Paragraph"/>
    <w:basedOn w:val="a"/>
    <w:uiPriority w:val="34"/>
    <w:qFormat/>
    <w:rsid w:val="002D07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4092"/>
  </w:style>
  <w:style w:type="character" w:customStyle="1" w:styleId="style1">
    <w:name w:val="style1"/>
    <w:rsid w:val="008E4092"/>
  </w:style>
  <w:style w:type="character" w:customStyle="1" w:styleId="style14">
    <w:name w:val="style14"/>
    <w:rsid w:val="008E4092"/>
  </w:style>
  <w:style w:type="character" w:customStyle="1" w:styleId="style13">
    <w:name w:val="style13"/>
    <w:rsid w:val="008E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90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4294967283</TotalTime>
  <Pages>12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Геогрий Николаевич</dc:creator>
  <cp:lastModifiedBy>ира</cp:lastModifiedBy>
  <cp:revision>7</cp:revision>
  <dcterms:created xsi:type="dcterms:W3CDTF">2019-09-10T19:14:00Z</dcterms:created>
  <dcterms:modified xsi:type="dcterms:W3CDTF">2019-09-20T10:33:00Z</dcterms:modified>
</cp:coreProperties>
</file>